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Arial" w:hAnsi="Arial" w:cs="Arial"/>
          <w:b/>
          <w:sz w:val="24"/>
          <w:szCs w:val="24"/>
        </w:rPr>
      </w:pPr>
      <w:r>
        <w:rPr>
          <w:rFonts w:ascii="Arial" w:hAnsi="Arial" w:eastAsia="MS Mincho" w:cs="Arial"/>
          <w:b/>
          <w:sz w:val="24"/>
          <w:lang w:val="en-US" w:eastAsia="zh-CN" w:bidi="ar-SA"/>
        </w:rPr>
        <w:t>3GPP TSG-RAN WG4 Meeting # 10</w:t>
      </w:r>
      <w:r>
        <w:rPr>
          <w:rFonts w:hint="eastAsia" w:ascii="Arial" w:hAnsi="Arial" w:eastAsia="MS Mincho" w:cs="Arial"/>
          <w:b/>
          <w:sz w:val="24"/>
          <w:lang w:val="en-US" w:eastAsia="zh-CN" w:bidi="ar-SA"/>
        </w:rPr>
        <w:t xml:space="preserve">6bis-e </w:t>
      </w:r>
      <w:r>
        <w:rPr>
          <w:rFonts w:hint="eastAsia" w:ascii="Arial" w:hAnsi="Arial" w:cs="Arial"/>
          <w:b/>
          <w:sz w:val="24"/>
          <w:szCs w:val="24"/>
        </w:rPr>
        <w:t xml:space="preserve">                               R4-2</w:t>
      </w:r>
      <w:r>
        <w:rPr>
          <w:rFonts w:hint="eastAsia" w:ascii="Arial" w:hAnsi="Arial" w:cs="Arial"/>
          <w:b/>
          <w:sz w:val="24"/>
          <w:szCs w:val="24"/>
          <w:lang w:val="en-US" w:eastAsia="zh-CN"/>
        </w:rPr>
        <w:t>304171</w:t>
      </w:r>
      <w:r>
        <w:rPr>
          <w:rFonts w:hint="eastAsia" w:ascii="Arial" w:hAnsi="Arial" w:cs="Arial"/>
          <w:b/>
          <w:sz w:val="24"/>
          <w:szCs w:val="24"/>
        </w:rPr>
        <w:t xml:space="preserve">                          </w:t>
      </w:r>
    </w:p>
    <w:p>
      <w:pPr>
        <w:tabs>
          <w:tab w:val="left" w:pos="1985"/>
        </w:tabs>
        <w:spacing w:after="180"/>
        <w:ind w:left="1980" w:hanging="1980"/>
        <w:outlineLvl w:val="0"/>
        <w:rPr>
          <w:rFonts w:hint="eastAsia" w:ascii="Arial" w:hAnsi="Arial" w:eastAsia="宋体" w:cs="Arial"/>
          <w:b/>
          <w:sz w:val="24"/>
          <w:szCs w:val="24"/>
          <w:highlight w:val="none"/>
          <w:lang w:val="en-US" w:eastAsia="zh-CN"/>
        </w:rPr>
      </w:pPr>
      <w:r>
        <w:rPr>
          <w:rFonts w:hint="eastAsia" w:ascii="Arial" w:hAnsi="Arial" w:eastAsia="宋体" w:cs="Arial"/>
          <w:b/>
          <w:sz w:val="24"/>
          <w:szCs w:val="24"/>
          <w:highlight w:val="none"/>
          <w:lang w:val="en-US" w:eastAsia="zh-CN"/>
        </w:rPr>
        <w:t>Electronic Meeting</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17th - 26th Apirl 2023</w:t>
      </w:r>
    </w:p>
    <w:p>
      <w:pPr>
        <w:tabs>
          <w:tab w:val="left" w:pos="1985"/>
        </w:tabs>
        <w:spacing w:after="180"/>
        <w:ind w:left="1980" w:hanging="1980"/>
        <w:outlineLvl w:val="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5.25.2.1</w:t>
      </w:r>
    </w:p>
    <w:p>
      <w:pPr>
        <w:tabs>
          <w:tab w:val="left" w:pos="1985"/>
        </w:tabs>
        <w:spacing w:after="180"/>
        <w:ind w:left="1980" w:hanging="1980"/>
        <w:outlineLvl w:val="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outlineLvl w:val="0"/>
        <w:rPr>
          <w:rFonts w:hint="default" w:ascii="Arial" w:hAnsi="Arial" w:cs="Arial"/>
          <w:b/>
          <w:sz w:val="24"/>
          <w:szCs w:val="24"/>
          <w:highlight w:val="none"/>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default" w:ascii="Arial" w:hAnsi="Arial" w:eastAsia="MS Mincho" w:cs="Arial"/>
          <w:b/>
          <w:sz w:val="24"/>
          <w:szCs w:val="24"/>
          <w:lang w:val="en-US" w:eastAsia="en-US"/>
        </w:rPr>
        <w:t>general aspects and scenarios of L1/L2 triggered inter-cell mobility</w:t>
      </w:r>
    </w:p>
    <w:p>
      <w:pPr>
        <w:tabs>
          <w:tab w:val="left" w:pos="1980"/>
        </w:tabs>
        <w:spacing w:after="180"/>
        <w:ind w:left="1980" w:hanging="1980"/>
        <w:outlineLvl w:val="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rPr>
          <w:rFonts w:hint="default"/>
          <w:lang w:val="en-US" w:eastAsia="zh-CN"/>
        </w:rPr>
      </w:pPr>
      <w:r>
        <w:rPr>
          <w:rFonts w:hint="eastAsia"/>
          <w:lang w:val="en-US" w:eastAsia="zh-CN"/>
        </w:rPr>
        <w:t xml:space="preserve">In the last meeting, </w:t>
      </w:r>
      <w:r>
        <w:rPr>
          <w:lang w:eastAsia="ja-JP"/>
        </w:rPr>
        <w:t xml:space="preserve">the discussion about general aspects and scenarios had some progresses but there are many remaing issues. </w:t>
      </w:r>
      <w:r>
        <w:rPr>
          <w:rFonts w:hint="default"/>
          <w:lang w:val="en-US" w:eastAsia="zh-CN"/>
        </w:rPr>
        <w:t>In this contribution, we discuss general aspects and scenarios of L1/L2 triggered inter-cell mobility (LTM) from the perspective of RRM.</w:t>
      </w:r>
    </w:p>
    <w:p>
      <w:pPr>
        <w:pStyle w:val="53"/>
        <w:tabs>
          <w:tab w:val="left" w:pos="567"/>
          <w:tab w:val="clear" w:pos="1985"/>
        </w:tabs>
        <w:adjustRightInd w:val="0"/>
        <w:ind w:left="510" w:hanging="510"/>
        <w:rPr>
          <w:rFonts w:eastAsia="Times New Roman"/>
        </w:rPr>
      </w:pPr>
      <w:r>
        <w:rPr>
          <w:rFonts w:hint="eastAsia"/>
        </w:rPr>
        <w:t>Discussion</w:t>
      </w:r>
    </w:p>
    <w:p>
      <w:pPr>
        <w:spacing w:after="157" w:afterLines="50"/>
        <w:rPr>
          <w:rFonts w:hint="eastAsia"/>
          <w:lang w:val="en-US" w:eastAsia="zh-CN"/>
        </w:rPr>
      </w:pPr>
      <w:r>
        <w:rPr>
          <w:rFonts w:hint="eastAsia"/>
          <w:lang w:eastAsia="ja-JP"/>
        </w:rPr>
        <w:t>D</w:t>
      </w:r>
      <w:r>
        <w:rPr>
          <w:lang w:eastAsia="ja-JP"/>
        </w:rPr>
        <w:t xml:space="preserve">uring last meeting, </w:t>
      </w:r>
      <w:r>
        <w:rPr>
          <w:rFonts w:hint="eastAsia"/>
          <w:lang w:val="en-US" w:eastAsia="zh-CN"/>
        </w:rPr>
        <w:t>we discussed the definition of inter-frequency cell switch and have no consensus</w:t>
      </w:r>
      <w:r>
        <w:rPr>
          <w:lang w:eastAsia="ja-JP"/>
        </w:rPr>
        <w:t>.</w:t>
      </w:r>
      <w:r>
        <w:rPr>
          <w:rFonts w:hint="eastAsia"/>
          <w:lang w:val="en-US" w:eastAsia="zh-CN"/>
        </w:rPr>
        <w:t xml:space="preserve"> The candidate options are duplicated blew: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afterLines="50"/>
              <w:rPr>
                <w:szCs w:val="24"/>
                <w:lang w:eastAsia="zh-CN"/>
              </w:rPr>
            </w:pPr>
            <w:r>
              <w:rPr>
                <w:b/>
                <w:lang w:eastAsia="zh-CN"/>
              </w:rPr>
              <w:t>&lt; Wayforward &gt;</w:t>
            </w:r>
            <w:r>
              <w:rPr>
                <w:lang w:eastAsia="zh-CN"/>
              </w:rPr>
              <w:t>: FFS the following options</w:t>
            </w:r>
          </w:p>
          <w:p>
            <w:pPr>
              <w:pStyle w:val="32"/>
              <w:numPr>
                <w:ilvl w:val="1"/>
                <w:numId w:val="3"/>
              </w:numPr>
              <w:overflowPunct/>
              <w:autoSpaceDE/>
              <w:autoSpaceDN/>
              <w:adjustRightInd/>
              <w:spacing w:after="120"/>
              <w:ind w:firstLineChars="0"/>
              <w:textAlignment w:val="auto"/>
              <w:rPr>
                <w:szCs w:val="24"/>
                <w:lang w:eastAsia="zh-CN"/>
              </w:rPr>
            </w:pPr>
            <w:r>
              <w:rPr>
                <w:szCs w:val="24"/>
                <w:lang w:eastAsia="zh-CN"/>
              </w:rPr>
              <w:t>Option 1 (Apple, CTC, CATT, MTK, DOCOMO, OPPO, vivo, Huawei, Nokia, Ericsson): Inter-frequency cell switch is defined where the SSB of Pcell and/or PScell and the candidate target cell are on different frequency layers.</w:t>
            </w:r>
          </w:p>
          <w:p>
            <w:pPr>
              <w:pStyle w:val="32"/>
              <w:numPr>
                <w:ilvl w:val="1"/>
                <w:numId w:val="3"/>
              </w:numPr>
              <w:overflowPunct/>
              <w:autoSpaceDE/>
              <w:autoSpaceDN/>
              <w:adjustRightInd/>
              <w:spacing w:after="120"/>
              <w:ind w:firstLineChars="0"/>
              <w:textAlignment w:val="auto"/>
              <w:rPr>
                <w:szCs w:val="24"/>
                <w:lang w:eastAsia="zh-CN"/>
              </w:rPr>
            </w:pPr>
            <w:r>
              <w:rPr>
                <w:rFonts w:hint="eastAsia"/>
                <w:szCs w:val="24"/>
                <w:lang w:eastAsia="zh-CN"/>
              </w:rPr>
              <w:t>O</w:t>
            </w:r>
            <w:r>
              <w:rPr>
                <w:szCs w:val="24"/>
                <w:lang w:eastAsia="zh-CN"/>
              </w:rPr>
              <w:t>ption 2 (CATT, DOCOMO</w:t>
            </w:r>
            <w:r>
              <w:rPr>
                <w:rFonts w:hint="eastAsia"/>
                <w:szCs w:val="24"/>
                <w:lang w:eastAsia="zh-CN"/>
              </w:rPr>
              <w:t>,</w:t>
            </w:r>
            <w:r>
              <w:rPr>
                <w:szCs w:val="24"/>
                <w:lang w:eastAsia="zh-CN"/>
              </w:rPr>
              <w:t xml:space="preserve"> CMCC, vivo): Inter-frequency cell switch is defined where the SSBs of active serving cell(s) and the corresponding candidate target cell(s) are on different frequency layers</w:t>
            </w:r>
          </w:p>
          <w:p>
            <w:pPr>
              <w:pStyle w:val="32"/>
              <w:numPr>
                <w:ilvl w:val="1"/>
                <w:numId w:val="3"/>
              </w:numPr>
              <w:overflowPunct/>
              <w:autoSpaceDE/>
              <w:autoSpaceDN/>
              <w:adjustRightInd/>
              <w:spacing w:after="120"/>
              <w:ind w:firstLineChars="0"/>
              <w:textAlignment w:val="auto"/>
              <w:rPr>
                <w:szCs w:val="24"/>
                <w:lang w:eastAsia="zh-CN"/>
              </w:rPr>
            </w:pPr>
            <w:r>
              <w:rPr>
                <w:szCs w:val="24"/>
                <w:lang w:eastAsia="zh-CN"/>
              </w:rPr>
              <w:t>Option 3 (CMCC): no need to have the definition of inter-frequency cell switch if cell switch delay requirements are agnostic for intra-frequency and inter-frequency, same as existing HO delay requirements.</w:t>
            </w:r>
          </w:p>
          <w:p>
            <w:pPr>
              <w:pStyle w:val="32"/>
              <w:numPr>
                <w:ilvl w:val="1"/>
                <w:numId w:val="3"/>
              </w:numPr>
              <w:overflowPunct/>
              <w:autoSpaceDE/>
              <w:autoSpaceDN/>
              <w:adjustRightInd/>
              <w:spacing w:after="120"/>
              <w:ind w:firstLineChars="0"/>
              <w:textAlignment w:val="auto"/>
              <w:rPr>
                <w:szCs w:val="24"/>
                <w:lang w:eastAsia="zh-CN"/>
              </w:rPr>
            </w:pPr>
            <w:r>
              <w:rPr>
                <w:szCs w:val="24"/>
                <w:lang w:eastAsia="zh-CN"/>
              </w:rPr>
              <w:t>Option 4 (Ericsson): Follow legacy procedure and do not define any explicit definition in the spec</w:t>
            </w:r>
          </w:p>
          <w:p>
            <w:pPr>
              <w:pStyle w:val="92"/>
              <w:numPr>
                <w:ilvl w:val="-1"/>
                <w:numId w:val="0"/>
              </w:numPr>
              <w:tabs>
                <w:tab w:val="left" w:pos="644"/>
                <w:tab w:val="clear" w:pos="1619"/>
              </w:tabs>
              <w:overflowPunct w:val="0"/>
              <w:autoSpaceDE w:val="0"/>
              <w:autoSpaceDN w:val="0"/>
              <w:adjustRightInd w:val="0"/>
              <w:spacing w:after="180"/>
              <w:ind w:left="0" w:firstLine="0"/>
              <w:textAlignment w:val="baseline"/>
              <w:rPr>
                <w:rFonts w:cs="Arial"/>
              </w:rPr>
            </w:pPr>
          </w:p>
        </w:tc>
      </w:tr>
    </w:tbl>
    <w:p>
      <w:pPr>
        <w:rPr>
          <w:rFonts w:hint="default"/>
          <w:lang w:val="en-US" w:eastAsia="zh-CN"/>
        </w:rPr>
      </w:pPr>
    </w:p>
    <w:p>
      <w:pPr>
        <w:jc w:val="both"/>
        <w:rPr>
          <w:rFonts w:hint="default" w:eastAsia="宋体"/>
          <w:szCs w:val="21"/>
          <w:lang w:val="en-US" w:eastAsia="zh-CN"/>
        </w:rPr>
      </w:pPr>
      <w:r>
        <w:rPr>
          <w:rFonts w:hint="eastAsia" w:ascii="Times New Roman" w:hAnsi="Times New Roman"/>
          <w:sz w:val="21"/>
          <w:szCs w:val="21"/>
          <w:highlight w:val="none"/>
        </w:rPr>
        <w:t>A</w:t>
      </w:r>
      <w:r>
        <w:rPr>
          <w:rFonts w:ascii="Times New Roman" w:hAnsi="Times New Roman"/>
          <w:sz w:val="21"/>
          <w:szCs w:val="21"/>
          <w:highlight w:val="none"/>
        </w:rPr>
        <w:t xml:space="preserve">ccording to RAN2 discussion, it was agreed that L1/L2 based mobility supports CA scenarios including PCell </w:t>
      </w:r>
      <w:r>
        <w:rPr>
          <w:rFonts w:hint="eastAsia" w:ascii="Times New Roman" w:hAnsi="Times New Roman"/>
          <w:sz w:val="21"/>
          <w:szCs w:val="21"/>
          <w:highlight w:val="none"/>
        </w:rPr>
        <w:t>change</w:t>
      </w:r>
      <w:r>
        <w:rPr>
          <w:rFonts w:ascii="Times New Roman" w:hAnsi="Times New Roman"/>
          <w:sz w:val="21"/>
          <w:szCs w:val="21"/>
          <w:highlight w:val="none"/>
        </w:rPr>
        <w:t xml:space="preserve"> without SCell change and PCell </w:t>
      </w:r>
      <w:r>
        <w:rPr>
          <w:rFonts w:hint="eastAsia" w:ascii="Times New Roman" w:hAnsi="Times New Roman"/>
          <w:sz w:val="21"/>
          <w:szCs w:val="21"/>
          <w:highlight w:val="none"/>
        </w:rPr>
        <w:t>change</w:t>
      </w:r>
      <w:r>
        <w:rPr>
          <w:rFonts w:ascii="Times New Roman" w:hAnsi="Times New Roman"/>
          <w:sz w:val="21"/>
          <w:szCs w:val="21"/>
          <w:highlight w:val="none"/>
        </w:rPr>
        <w:t xml:space="preserve"> with SCell change. In addition, RAN2 also agreed to support the scenario that target PCell/SCell can be current SCell/PC</w:t>
      </w:r>
      <w:r>
        <w:rPr>
          <w:rFonts w:hint="eastAsia" w:ascii="Times New Roman" w:hAnsi="Times New Roman"/>
          <w:sz w:val="21"/>
          <w:szCs w:val="21"/>
          <w:highlight w:val="none"/>
        </w:rPr>
        <w:t>ell</w:t>
      </w:r>
      <w:r>
        <w:rPr>
          <w:rFonts w:hint="eastAsia"/>
          <w:sz w:val="21"/>
          <w:szCs w:val="21"/>
          <w:highlight w:val="none"/>
          <w:lang w:val="en-US" w:eastAsia="zh-CN"/>
        </w:rPr>
        <w:t xml:space="preserve"> </w:t>
      </w:r>
      <w:r>
        <w:rPr>
          <w:rFonts w:ascii="Times New Roman" w:hAnsi="Times New Roman"/>
          <w:sz w:val="21"/>
          <w:szCs w:val="21"/>
        </w:rPr>
        <w:t>(i.e. current SCell/Pc</w:t>
      </w:r>
      <w:r>
        <w:rPr>
          <w:rFonts w:hint="eastAsia" w:ascii="Times New Roman" w:hAnsi="Times New Roman"/>
          <w:sz w:val="21"/>
          <w:szCs w:val="21"/>
        </w:rPr>
        <w:t>ell</w:t>
      </w:r>
      <w:r>
        <w:rPr>
          <w:rFonts w:ascii="Times New Roman" w:hAnsi="Times New Roman"/>
          <w:sz w:val="21"/>
          <w:szCs w:val="21"/>
        </w:rPr>
        <w:t xml:space="preserve"> can be configured as candidates). </w:t>
      </w:r>
      <w:r>
        <w:rPr>
          <w:rFonts w:hint="eastAsia" w:ascii="Times New Roman" w:hAnsi="Times New Roman"/>
          <w:sz w:val="21"/>
          <w:szCs w:val="21"/>
        </w:rPr>
        <w:t xml:space="preserve">For the above scenarios, the </w:t>
      </w:r>
      <w:r>
        <w:rPr>
          <w:szCs w:val="21"/>
          <w:lang w:eastAsia="zh-CN"/>
        </w:rPr>
        <w:t>legacy</w:t>
      </w:r>
      <w:r>
        <w:rPr>
          <w:rFonts w:hint="eastAsia" w:ascii="Times New Roman" w:hAnsi="Times New Roman"/>
          <w:sz w:val="21"/>
          <w:szCs w:val="21"/>
        </w:rPr>
        <w:t xml:space="preserve"> results may cause confusion</w:t>
      </w:r>
      <w:r>
        <w:rPr>
          <w:rFonts w:hint="eastAsia"/>
          <w:sz w:val="21"/>
          <w:szCs w:val="21"/>
          <w:lang w:val="en-US" w:eastAsia="zh-CN"/>
        </w:rPr>
        <w:t xml:space="preserve"> and we should </w:t>
      </w:r>
      <w:r>
        <w:rPr>
          <w:rFonts w:hint="eastAsia"/>
          <w:szCs w:val="21"/>
          <w:lang w:val="en-US" w:eastAsia="zh-CN"/>
        </w:rPr>
        <w:t>discussed the definition of inter-frequency cell switch.</w:t>
      </w:r>
    </w:p>
    <w:p>
      <w:pPr>
        <w:spacing w:beforeLines="0" w:after="157" w:afterLines="50"/>
        <w:rPr>
          <w:lang w:eastAsia="ja-JP"/>
        </w:rPr>
      </w:pPr>
      <w:r>
        <w:rPr>
          <w:rFonts w:hint="eastAsia"/>
          <w:lang w:eastAsia="ja-JP"/>
        </w:rPr>
        <w:t>A</w:t>
      </w:r>
      <w:r>
        <w:rPr>
          <w:lang w:eastAsia="ja-JP"/>
        </w:rPr>
        <w:t>bout definition of inter-frequency cell switch,</w:t>
      </w:r>
      <w:r>
        <w:rPr>
          <w:rFonts w:hint="eastAsia"/>
          <w:lang w:val="en-US" w:eastAsia="zh-CN"/>
        </w:rPr>
        <w:t xml:space="preserve"> both option1 and option2 are ok for us. I</w:t>
      </w:r>
      <w:r>
        <w:rPr>
          <w:lang w:eastAsia="ja-JP"/>
        </w:rPr>
        <w:t xml:space="preserve">n order to cover various scenario, option </w:t>
      </w:r>
      <w:r>
        <w:rPr>
          <w:rFonts w:hint="eastAsia"/>
          <w:lang w:val="en-US" w:eastAsia="zh-CN"/>
        </w:rPr>
        <w:t>2</w:t>
      </w:r>
      <w:r>
        <w:rPr>
          <w:lang w:eastAsia="ja-JP"/>
        </w:rPr>
        <w:t xml:space="preserve"> is preferable</w:t>
      </w:r>
      <w:r>
        <w:rPr>
          <w:rFonts w:hint="eastAsia"/>
          <w:lang w:val="en-US" w:eastAsia="zh-CN"/>
        </w:rPr>
        <w:t xml:space="preserve"> and the definition is the same as the legacy conpect used for inter-frequency cell switch</w:t>
      </w:r>
      <w:r>
        <w:rPr>
          <w:lang w:eastAsia="ja-JP"/>
        </w:rPr>
        <w:t>. However</w:t>
      </w:r>
      <w:r>
        <w:rPr>
          <w:rFonts w:hint="eastAsia"/>
          <w:lang w:val="en-US" w:eastAsia="zh-CN"/>
        </w:rPr>
        <w:t xml:space="preserve">, </w:t>
      </w:r>
      <w:r>
        <w:rPr>
          <w:rFonts w:eastAsiaTheme="minorEastAsia"/>
          <w:sz w:val="21"/>
          <w:szCs w:val="21"/>
          <w:highlight w:val="none"/>
          <w:lang w:eastAsia="zh-CN"/>
        </w:rPr>
        <w:t>RAN2 agreed to focus on PCell mobility first at the previous meeting</w:t>
      </w:r>
      <w:r>
        <w:rPr>
          <w:rFonts w:hint="eastAsia" w:eastAsiaTheme="minorEastAsia"/>
          <w:sz w:val="21"/>
          <w:szCs w:val="21"/>
          <w:highlight w:val="none"/>
          <w:lang w:val="en-US" w:eastAsia="zh-CN"/>
        </w:rPr>
        <w:t>,</w:t>
      </w:r>
      <w:r>
        <w:rPr>
          <w:lang w:eastAsia="ja-JP"/>
        </w:rPr>
        <w:t xml:space="preserve"> it is better to start the case that the SSBs of SpCell and the target cell are on different frequency layers as an ex</w:t>
      </w:r>
      <w:bookmarkStart w:id="6" w:name="_GoBack"/>
      <w:bookmarkEnd w:id="6"/>
      <w:r>
        <w:rPr>
          <w:lang w:eastAsia="ja-JP"/>
        </w:rPr>
        <w:t>ample scenario.</w:t>
      </w:r>
    </w:p>
    <w:p>
      <w:pPr>
        <w:spacing w:after="240"/>
        <w:rPr>
          <w:rFonts w:hint="default"/>
          <w:lang w:val="en-US" w:eastAsia="zh-CN"/>
        </w:rPr>
      </w:pPr>
      <w:r>
        <w:rPr>
          <w:rFonts w:ascii="Times New Roman" w:hAnsi="Times New Roman" w:cs="Times New Roman"/>
          <w:b/>
          <w:szCs w:val="20"/>
          <w:highlight w:val="none"/>
          <w:lang w:val="en-GB"/>
        </w:rPr>
        <w:t xml:space="preserve">Proposal </w:t>
      </w:r>
      <w:r>
        <w:rPr>
          <w:rFonts w:hint="eastAsia" w:cs="Times New Roman"/>
          <w:b/>
          <w:szCs w:val="20"/>
          <w:highlight w:val="none"/>
          <w:lang w:val="en-US" w:eastAsia="zh-CN"/>
        </w:rPr>
        <w:t>1</w:t>
      </w:r>
      <w:r>
        <w:rPr>
          <w:rFonts w:ascii="Times New Roman" w:hAnsi="Times New Roman" w:cs="Times New Roman"/>
          <w:b/>
          <w:szCs w:val="20"/>
          <w:highlight w:val="none"/>
          <w:lang w:val="en-GB"/>
        </w:rPr>
        <w:t xml:space="preserve">: </w:t>
      </w:r>
      <w:r>
        <w:rPr>
          <w:b/>
          <w:bCs/>
          <w:szCs w:val="24"/>
          <w:lang w:eastAsia="zh-CN"/>
        </w:rPr>
        <w:t>Inter-frequency cell switch is defined where the SSB of Pcell and/or PScell and the candidate target cell are on different frequency layers.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afterLines="50"/>
              <w:rPr>
                <w:b/>
                <w:u w:val="single"/>
                <w:lang w:eastAsia="zh-CN"/>
              </w:rPr>
            </w:pPr>
            <w:bookmarkStart w:id="1" w:name="_Hlk128141053"/>
            <w:r>
              <w:rPr>
                <w:b/>
                <w:u w:val="single"/>
              </w:rPr>
              <w:t>Issue 2-4-1</w:t>
            </w:r>
            <w:bookmarkEnd w:id="1"/>
            <w:r>
              <w:rPr>
                <w:b/>
                <w:u w:val="single"/>
              </w:rPr>
              <w:t xml:space="preserve">: </w:t>
            </w:r>
            <w:r>
              <w:rPr>
                <w:b/>
                <w:u w:val="single"/>
                <w:lang w:eastAsia="zh-CN"/>
              </w:rPr>
              <w:t>Whether to specify requirements for downlink/uplink synchronisation before cell switch</w:t>
            </w:r>
          </w:p>
          <w:p>
            <w:pPr>
              <w:spacing w:after="120" w:afterLines="50"/>
              <w:rPr>
                <w:szCs w:val="24"/>
                <w:lang w:eastAsia="zh-CN"/>
              </w:rPr>
            </w:pPr>
            <w:r>
              <w:rPr>
                <w:b/>
                <w:lang w:eastAsia="zh-CN"/>
              </w:rPr>
              <w:t>&lt; Wayforward &gt;</w:t>
            </w:r>
            <w:r>
              <w:rPr>
                <w:lang w:eastAsia="zh-CN"/>
              </w:rPr>
              <w:t>: FFS the following options</w:t>
            </w:r>
          </w:p>
          <w:p>
            <w:pPr>
              <w:pStyle w:val="32"/>
              <w:numPr>
                <w:ilvl w:val="1"/>
                <w:numId w:val="3"/>
              </w:numPr>
              <w:overflowPunct/>
              <w:autoSpaceDE/>
              <w:autoSpaceDN/>
              <w:adjustRightInd/>
              <w:spacing w:after="120"/>
              <w:ind w:firstLineChars="0"/>
              <w:textAlignment w:val="auto"/>
              <w:rPr>
                <w:szCs w:val="24"/>
                <w:lang w:eastAsia="zh-CN"/>
              </w:rPr>
            </w:pPr>
            <w:r>
              <w:rPr>
                <w:szCs w:val="24"/>
                <w:lang w:eastAsia="zh-CN"/>
              </w:rPr>
              <w:t>Option 1 (Apple): No need to define specific requirements for downlink synchronisation before cell switch since it has already been covered by existing L3 measurement requirements.</w:t>
            </w:r>
          </w:p>
          <w:p>
            <w:pPr>
              <w:pStyle w:val="32"/>
              <w:numPr>
                <w:ilvl w:val="1"/>
                <w:numId w:val="3"/>
              </w:numPr>
              <w:overflowPunct/>
              <w:autoSpaceDE/>
              <w:autoSpaceDN/>
              <w:adjustRightInd/>
              <w:spacing w:after="120"/>
              <w:ind w:firstLineChars="0"/>
              <w:textAlignment w:val="auto"/>
              <w:rPr>
                <w:szCs w:val="24"/>
                <w:lang w:eastAsia="zh-CN"/>
              </w:rPr>
            </w:pPr>
            <w:r>
              <w:rPr>
                <w:rFonts w:hint="eastAsia"/>
                <w:szCs w:val="24"/>
                <w:lang w:eastAsia="zh-CN"/>
              </w:rPr>
              <w:t>O</w:t>
            </w:r>
            <w:r>
              <w:rPr>
                <w:szCs w:val="24"/>
                <w:lang w:eastAsia="zh-CN"/>
              </w:rPr>
              <w:t>ption 2 (Intel): If TCI state switch command can be sent before cell switch, depending on progress of RAN1, RAN4 may need to further discuss how to update current requirement for TCI activation, e.g. timing offset, active BWP.</w:t>
            </w:r>
          </w:p>
          <w:p>
            <w:pPr>
              <w:pStyle w:val="32"/>
              <w:numPr>
                <w:ilvl w:val="1"/>
                <w:numId w:val="3"/>
              </w:numPr>
              <w:overflowPunct/>
              <w:autoSpaceDE/>
              <w:autoSpaceDN/>
              <w:adjustRightInd/>
              <w:spacing w:after="120"/>
              <w:ind w:firstLineChars="0"/>
              <w:textAlignment w:val="auto"/>
              <w:rPr>
                <w:szCs w:val="24"/>
                <w:lang w:eastAsia="zh-CN"/>
              </w:rPr>
            </w:pPr>
            <w:r>
              <w:rPr>
                <w:szCs w:val="24"/>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pPr>
              <w:pStyle w:val="32"/>
              <w:numPr>
                <w:ilvl w:val="1"/>
                <w:numId w:val="3"/>
              </w:numPr>
              <w:overflowPunct/>
              <w:autoSpaceDE/>
              <w:autoSpaceDN/>
              <w:adjustRightInd/>
              <w:spacing w:after="120"/>
              <w:ind w:firstLineChars="0"/>
              <w:textAlignment w:val="auto"/>
              <w:rPr>
                <w:szCs w:val="24"/>
                <w:lang w:eastAsia="zh-CN"/>
              </w:rPr>
            </w:pPr>
            <w:r>
              <w:rPr>
                <w:szCs w:val="24"/>
                <w:lang w:eastAsia="zh-CN"/>
              </w:rPr>
              <w:t>Option 4 (</w:t>
            </w:r>
            <w:r>
              <w:rPr>
                <w:rFonts w:hint="eastAsia"/>
                <w:szCs w:val="24"/>
                <w:lang w:eastAsia="zh-CN"/>
              </w:rPr>
              <w:t>E</w:t>
            </w:r>
            <w:r>
              <w:rPr>
                <w:szCs w:val="24"/>
                <w:lang w:eastAsia="zh-CN"/>
              </w:rPr>
              <w:t xml:space="preserve">ricsson): </w:t>
            </w:r>
          </w:p>
          <w:p>
            <w:pPr>
              <w:pStyle w:val="32"/>
              <w:numPr>
                <w:ilvl w:val="2"/>
                <w:numId w:val="3"/>
              </w:numPr>
              <w:overflowPunct/>
              <w:autoSpaceDE/>
              <w:autoSpaceDN/>
              <w:adjustRightInd/>
              <w:spacing w:after="120"/>
              <w:ind w:firstLineChars="0"/>
              <w:textAlignment w:val="auto"/>
              <w:rPr>
                <w:szCs w:val="24"/>
                <w:lang w:eastAsia="zh-CN"/>
              </w:rPr>
            </w:pPr>
            <w:r>
              <w:rPr>
                <w:szCs w:val="24"/>
                <w:lang w:eastAsia="zh-CN"/>
              </w:rPr>
              <w:t>RAN4 to study interruption requirements due to PRACH transmission</w:t>
            </w:r>
          </w:p>
          <w:p>
            <w:pPr>
              <w:pStyle w:val="32"/>
              <w:numPr>
                <w:ilvl w:val="2"/>
                <w:numId w:val="3"/>
              </w:numPr>
              <w:overflowPunct/>
              <w:autoSpaceDE/>
              <w:autoSpaceDN/>
              <w:adjustRightInd/>
              <w:spacing w:after="120"/>
              <w:ind w:firstLineChars="0"/>
              <w:textAlignment w:val="auto"/>
              <w:rPr>
                <w:szCs w:val="24"/>
                <w:lang w:eastAsia="zh-CN"/>
              </w:rPr>
            </w:pPr>
            <w:r>
              <w:rPr>
                <w:szCs w:val="24"/>
                <w:lang w:eastAsia="zh-CN"/>
              </w:rPr>
              <w:t>RAN4 to discuss the DL synchronization requirements and the number of cells for which DL pre-synchronization can be maintained at the UE.</w:t>
            </w:r>
          </w:p>
          <w:p>
            <w:pPr>
              <w:pStyle w:val="32"/>
              <w:numPr>
                <w:ilvl w:val="2"/>
                <w:numId w:val="3"/>
              </w:numPr>
              <w:overflowPunct/>
              <w:autoSpaceDE/>
              <w:autoSpaceDN/>
              <w:adjustRightInd/>
              <w:spacing w:after="120"/>
              <w:ind w:firstLineChars="0"/>
              <w:textAlignment w:val="auto"/>
              <w:rPr>
                <w:szCs w:val="24"/>
                <w:lang w:eastAsia="zh-CN"/>
              </w:rPr>
            </w:pPr>
            <w:r>
              <w:rPr>
                <w:szCs w:val="24"/>
                <w:lang w:eastAsia="zh-CN"/>
              </w:rPr>
              <w:t>RAN4 to discuss downlink synchronisation requirements for UE before receiving cell switch command.</w:t>
            </w:r>
          </w:p>
          <w:p>
            <w:pPr>
              <w:pStyle w:val="92"/>
              <w:numPr>
                <w:ilvl w:val="-1"/>
                <w:numId w:val="0"/>
              </w:numPr>
              <w:tabs>
                <w:tab w:val="left" w:pos="644"/>
                <w:tab w:val="clear" w:pos="1619"/>
              </w:tabs>
              <w:overflowPunct w:val="0"/>
              <w:autoSpaceDE w:val="0"/>
              <w:autoSpaceDN w:val="0"/>
              <w:adjustRightInd w:val="0"/>
              <w:spacing w:after="180"/>
              <w:ind w:left="0" w:firstLine="0"/>
              <w:textAlignment w:val="baseline"/>
              <w:rPr>
                <w:rFonts w:cs="Arial"/>
              </w:rPr>
            </w:pPr>
          </w:p>
        </w:tc>
      </w:tr>
    </w:tbl>
    <w:p>
      <w:pPr>
        <w:rPr>
          <w:rFonts w:hint="default" w:ascii="Times New Roman" w:hAnsi="Times New Roman" w:cs="Times New Roman"/>
          <w:lang w:val="en-US" w:eastAsia="zh-CN"/>
        </w:rPr>
      </w:pPr>
    </w:p>
    <w:p>
      <w:pPr>
        <w:rPr>
          <w:rFonts w:hint="default"/>
          <w:lang w:val="en-US" w:eastAsia="zh-CN"/>
        </w:rPr>
      </w:pPr>
      <w:r>
        <w:rPr>
          <w:rFonts w:hint="eastAsia"/>
          <w:lang w:val="en-US" w:eastAsia="zh-CN"/>
        </w:rPr>
        <w:t>RAN1 agreed to support RACH transmission before the cell switch command. Based on this, we suggest that RAN4 should discuss the downlink synchronization requirements of UE in order to realize the PRACH transmission before receiving the cell switch handover command.</w:t>
      </w:r>
    </w:p>
    <w:p>
      <w:pPr>
        <w:spacing w:before="157" w:beforeLines="50" w:after="157" w:afterLines="50"/>
        <w:rPr>
          <w:rFonts w:hint="default"/>
          <w:b/>
          <w:bCs/>
          <w:lang w:val="en-US" w:eastAsia="zh-CN"/>
        </w:rPr>
      </w:pPr>
      <w:r>
        <w:rPr>
          <w:rFonts w:hint="eastAsia"/>
          <w:b/>
          <w:bCs/>
          <w:lang w:val="en-US" w:eastAsia="zh-CN"/>
        </w:rPr>
        <w:t>Proposal 2: RAN4 to discuss downlink synchronisation requirements for UE before receiving cell switch command.</w:t>
      </w:r>
      <w:bookmarkStart w:id="2" w:name="OLE_LINK13"/>
      <w:bookmarkStart w:id="3" w:name="OLE_LINK20"/>
      <w:bookmarkStart w:id="4" w:name="OLE_LINK10"/>
      <w:bookmarkStart w:id="5" w:name="OLE_LINK14"/>
    </w:p>
    <w:bookmarkEnd w:id="2"/>
    <w:bookmarkEnd w:id="3"/>
    <w:bookmarkEnd w:id="4"/>
    <w:bookmarkEnd w:id="5"/>
    <w:p>
      <w:pPr>
        <w:pStyle w:val="53"/>
        <w:tabs>
          <w:tab w:val="left" w:pos="567"/>
          <w:tab w:val="clear" w:pos="1985"/>
        </w:tabs>
        <w:adjustRightInd w:val="0"/>
        <w:ind w:left="510" w:hanging="510"/>
      </w:pPr>
      <w:r>
        <w:t>Conclusions</w:t>
      </w:r>
    </w:p>
    <w:p>
      <w:pPr>
        <w:spacing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general aspects and scenarios of L1/L2 triggered inter-cell mobility</w:t>
      </w:r>
      <w:r>
        <w:rPr>
          <w:rFonts w:hint="eastAsia" w:cs="Times New Roman"/>
          <w:b w:val="0"/>
          <w:bCs w:val="0"/>
          <w:sz w:val="21"/>
          <w:szCs w:val="21"/>
          <w:lang w:val="en-US" w:eastAsia="zh-CN"/>
        </w:rPr>
        <w:t>.</w:t>
      </w:r>
    </w:p>
    <w:p>
      <w:pPr>
        <w:spacing w:after="240"/>
        <w:rPr>
          <w:b/>
          <w:bCs/>
          <w:szCs w:val="24"/>
          <w:lang w:eastAsia="zh-CN"/>
        </w:rPr>
      </w:pPr>
      <w:r>
        <w:rPr>
          <w:rFonts w:ascii="Times New Roman" w:hAnsi="Times New Roman" w:cs="Times New Roman"/>
          <w:b/>
          <w:szCs w:val="20"/>
          <w:highlight w:val="none"/>
          <w:lang w:val="en-GB"/>
        </w:rPr>
        <w:t xml:space="preserve">Proposal </w:t>
      </w:r>
      <w:r>
        <w:rPr>
          <w:rFonts w:hint="eastAsia" w:cs="Times New Roman"/>
          <w:b/>
          <w:szCs w:val="20"/>
          <w:highlight w:val="none"/>
          <w:lang w:val="en-US" w:eastAsia="zh-CN"/>
        </w:rPr>
        <w:t>1</w:t>
      </w:r>
      <w:r>
        <w:rPr>
          <w:rFonts w:ascii="Times New Roman" w:hAnsi="Times New Roman" w:cs="Times New Roman"/>
          <w:b/>
          <w:szCs w:val="20"/>
          <w:highlight w:val="none"/>
          <w:lang w:val="en-GB"/>
        </w:rPr>
        <w:t xml:space="preserve">: </w:t>
      </w:r>
      <w:r>
        <w:rPr>
          <w:b/>
          <w:bCs/>
          <w:szCs w:val="24"/>
          <w:lang w:eastAsia="zh-CN"/>
        </w:rPr>
        <w:t>Inter-frequency cell switch is defined where the SSB of Pcell and/or PScell and the candidate target cell are on different frequency layers.</w:t>
      </w:r>
    </w:p>
    <w:p>
      <w:pPr>
        <w:rPr>
          <w:rFonts w:hint="default"/>
          <w:b/>
          <w:bCs/>
          <w:lang w:val="en-US" w:eastAsia="zh-CN"/>
        </w:rPr>
      </w:pPr>
      <w:r>
        <w:rPr>
          <w:rFonts w:hint="eastAsia"/>
          <w:b/>
          <w:bCs/>
          <w:lang w:val="en-US" w:eastAsia="zh-CN"/>
        </w:rPr>
        <w:t>Proposal 2: RAN4 to discuss downlink synchronisation requirements for UE before receiving cell switch command.</w:t>
      </w:r>
    </w:p>
    <w:p>
      <w:pPr>
        <w:pStyle w:val="53"/>
        <w:tabs>
          <w:tab w:val="left" w:pos="567"/>
          <w:tab w:val="clear" w:pos="1985"/>
        </w:tabs>
        <w:adjustRightInd w:val="0"/>
        <w:ind w:left="510" w:hanging="510"/>
      </w:pPr>
      <w:r>
        <w:t>References</w:t>
      </w:r>
    </w:p>
    <w:p>
      <w:pPr>
        <w:pStyle w:val="51"/>
        <w:numPr>
          <w:ilvl w:val="0"/>
          <w:numId w:val="4"/>
        </w:numPr>
        <w:rPr>
          <w:rFonts w:hint="default"/>
          <w:sz w:val="21"/>
          <w:szCs w:val="21"/>
          <w:lang w:val="en-US" w:eastAsia="zh-CN"/>
        </w:rPr>
      </w:pPr>
      <w:r>
        <w:rPr>
          <w:rFonts w:hint="default"/>
          <w:sz w:val="21"/>
          <w:szCs w:val="21"/>
          <w:lang w:val="en-US" w:eastAsia="zh-CN"/>
        </w:rPr>
        <w:t>R4-2303309, WF on NR Mobility Enhancements RRM requirements (part 2), Apple</w:t>
      </w:r>
    </w:p>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36</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2023-04-10T08:19:22Z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